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F5366F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HFC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F5366F">
        <w:rPr>
          <w:rFonts w:ascii="Arial" w:hAnsi="Arial" w:cs="Arial"/>
          <w:b/>
          <w:sz w:val="20"/>
          <w:szCs w:val="20"/>
        </w:rPr>
        <w:t>Notice of issuing convertible bonds to the public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5366F">
        <w:rPr>
          <w:rFonts w:ascii="Arial" w:hAnsi="Arial" w:cs="Arial"/>
          <w:sz w:val="20"/>
          <w:szCs w:val="20"/>
        </w:rPr>
        <w:t>11 Feb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F5366F" w:rsidRPr="00F5366F">
        <w:rPr>
          <w:rFonts w:ascii="Arial" w:hAnsi="Arial" w:cs="Arial"/>
          <w:sz w:val="20"/>
          <w:szCs w:val="20"/>
        </w:rPr>
        <w:t>HFC Petroleum Corporation</w:t>
      </w:r>
      <w:r w:rsidR="00F5366F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37607E">
        <w:rPr>
          <w:rFonts w:ascii="Arial" w:hAnsi="Arial" w:cs="Arial"/>
          <w:sz w:val="20"/>
          <w:szCs w:val="20"/>
        </w:rPr>
        <w:t>extending</w:t>
      </w:r>
      <w:r w:rsidR="00BF0485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F5366F" w:rsidRDefault="00F5366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F5366F">
        <w:rPr>
          <w:rFonts w:ascii="Arial" w:hAnsi="Arial" w:cs="Arial"/>
          <w:sz w:val="20"/>
          <w:szCs w:val="20"/>
        </w:rPr>
        <w:t xml:space="preserve"> Issuer</w:t>
      </w:r>
      <w:r>
        <w:rPr>
          <w:rFonts w:ascii="Arial" w:hAnsi="Arial" w:cs="Arial"/>
          <w:sz w:val="20"/>
          <w:szCs w:val="20"/>
        </w:rPr>
        <w:t>’s</w:t>
      </w:r>
      <w:r w:rsidRPr="00F5366F">
        <w:rPr>
          <w:rFonts w:ascii="Arial" w:hAnsi="Arial" w:cs="Arial"/>
          <w:sz w:val="20"/>
          <w:szCs w:val="20"/>
        </w:rPr>
        <w:t xml:space="preserve"> name: </w:t>
      </w:r>
      <w:r w:rsidRPr="00F5366F">
        <w:rPr>
          <w:rFonts w:ascii="Arial" w:hAnsi="Arial" w:cs="Arial"/>
          <w:sz w:val="20"/>
          <w:szCs w:val="20"/>
        </w:rPr>
        <w:t>HFC Petroleum Corporation</w:t>
      </w:r>
    </w:p>
    <w:p w:rsidR="00F5366F" w:rsidRDefault="00F5366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Headquarter</w:t>
      </w:r>
      <w:r w:rsidRPr="00F5366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F3 </w:t>
      </w:r>
      <w:r w:rsidRPr="00F5366F">
        <w:rPr>
          <w:rFonts w:ascii="Arial" w:hAnsi="Arial" w:cs="Arial"/>
          <w:sz w:val="20"/>
          <w:szCs w:val="20"/>
        </w:rPr>
        <w:t xml:space="preserve">Floor, 187 Nguyen Luong Bang Building, Dong Da District, </w:t>
      </w:r>
      <w:r>
        <w:rPr>
          <w:rFonts w:ascii="Arial" w:hAnsi="Arial" w:cs="Arial"/>
          <w:sz w:val="20"/>
          <w:szCs w:val="20"/>
        </w:rPr>
        <w:t xml:space="preserve">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>
        <w:rPr>
          <w:rFonts w:ascii="Arial" w:hAnsi="Arial" w:cs="Arial"/>
          <w:sz w:val="20"/>
          <w:szCs w:val="20"/>
        </w:rPr>
        <w:t xml:space="preserve"> City</w:t>
      </w:r>
    </w:p>
    <w:p w:rsidR="00F5366F" w:rsidRDefault="00F5366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F5366F">
        <w:rPr>
          <w:rFonts w:ascii="Arial" w:hAnsi="Arial" w:cs="Arial"/>
          <w:sz w:val="20"/>
          <w:szCs w:val="20"/>
        </w:rPr>
        <w:t xml:space="preserve">Convertible bonds </w:t>
      </w:r>
      <w:r>
        <w:rPr>
          <w:rFonts w:ascii="Arial" w:hAnsi="Arial" w:cs="Arial"/>
          <w:sz w:val="20"/>
          <w:szCs w:val="20"/>
        </w:rPr>
        <w:t xml:space="preserve">to be </w:t>
      </w:r>
      <w:r w:rsidRPr="00F5366F">
        <w:rPr>
          <w:rFonts w:ascii="Arial" w:hAnsi="Arial" w:cs="Arial"/>
          <w:sz w:val="20"/>
          <w:szCs w:val="20"/>
        </w:rPr>
        <w:t xml:space="preserve">offered: </w:t>
      </w:r>
    </w:p>
    <w:p w:rsidR="00F5366F" w:rsidRDefault="00F5366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Bond name: Convertible bond</w:t>
      </w:r>
      <w:r w:rsidRPr="00F536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 w:rsidRPr="00F5366F">
        <w:rPr>
          <w:rFonts w:ascii="Arial" w:hAnsi="Arial" w:cs="Arial"/>
          <w:sz w:val="20"/>
          <w:szCs w:val="20"/>
        </w:rPr>
        <w:t>HFC Petroleum Corporation</w:t>
      </w:r>
      <w:r>
        <w:rPr>
          <w:rFonts w:ascii="Arial" w:hAnsi="Arial" w:cs="Arial"/>
          <w:sz w:val="20"/>
          <w:szCs w:val="20"/>
        </w:rPr>
        <w:t xml:space="preserve"> </w:t>
      </w:r>
    </w:p>
    <w:p w:rsidR="00F5366F" w:rsidRDefault="00F5366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66F">
        <w:rPr>
          <w:rFonts w:ascii="Arial" w:hAnsi="Arial" w:cs="Arial"/>
          <w:sz w:val="20"/>
          <w:szCs w:val="20"/>
        </w:rPr>
        <w:t>- Ty</w:t>
      </w:r>
      <w:r>
        <w:rPr>
          <w:rFonts w:ascii="Arial" w:hAnsi="Arial" w:cs="Arial"/>
          <w:sz w:val="20"/>
          <w:szCs w:val="20"/>
        </w:rPr>
        <w:t>pe of bond</w:t>
      </w:r>
      <w:r w:rsidRPr="00F5366F">
        <w:rPr>
          <w:rFonts w:ascii="Arial" w:hAnsi="Arial" w:cs="Arial"/>
          <w:sz w:val="20"/>
          <w:szCs w:val="20"/>
        </w:rPr>
        <w:t xml:space="preserve">: convertible bonds without collateral </w:t>
      </w:r>
    </w:p>
    <w:p w:rsidR="00F5366F" w:rsidRDefault="00F5366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Par</w:t>
      </w:r>
      <w:r w:rsidRPr="00F5366F">
        <w:rPr>
          <w:rFonts w:ascii="Arial" w:hAnsi="Arial" w:cs="Arial"/>
          <w:sz w:val="20"/>
          <w:szCs w:val="20"/>
        </w:rPr>
        <w:t xml:space="preserve"> value: </w:t>
      </w:r>
      <w:r w:rsidRPr="00F5366F">
        <w:rPr>
          <w:rFonts w:ascii="Arial" w:hAnsi="Arial" w:cs="Arial"/>
          <w:sz w:val="20"/>
          <w:szCs w:val="20"/>
        </w:rPr>
        <w:t>VND</w:t>
      </w:r>
      <w:r w:rsidRPr="00F536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100,000 </w:t>
      </w:r>
    </w:p>
    <w:p w:rsidR="00F5366F" w:rsidRDefault="00F5366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Offering quantity: 200,</w:t>
      </w:r>
      <w:r w:rsidRPr="00F5366F">
        <w:rPr>
          <w:rFonts w:ascii="Arial" w:hAnsi="Arial" w:cs="Arial"/>
          <w:sz w:val="20"/>
          <w:szCs w:val="20"/>
        </w:rPr>
        <w:t xml:space="preserve">000 convertible bonds </w:t>
      </w:r>
    </w:p>
    <w:p w:rsidR="00F5366F" w:rsidRDefault="00F5366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Eligible buyer</w:t>
      </w:r>
      <w:r w:rsidRPr="00F5366F">
        <w:rPr>
          <w:rFonts w:ascii="Arial" w:hAnsi="Arial" w:cs="Arial"/>
          <w:sz w:val="20"/>
          <w:szCs w:val="20"/>
        </w:rPr>
        <w:t xml:space="preserve">: existing shareholders </w:t>
      </w:r>
    </w:p>
    <w:p w:rsidR="00F5366F" w:rsidRDefault="00F5366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5366F">
        <w:rPr>
          <w:rFonts w:ascii="Arial" w:hAnsi="Arial" w:cs="Arial"/>
          <w:sz w:val="20"/>
          <w:szCs w:val="20"/>
        </w:rPr>
        <w:t xml:space="preserve">Bond term: </w:t>
      </w:r>
      <w:r w:rsidR="00396C25">
        <w:rPr>
          <w:rFonts w:ascii="Arial" w:hAnsi="Arial" w:cs="Arial"/>
          <w:sz w:val="20"/>
          <w:szCs w:val="20"/>
        </w:rPr>
        <w:t>one</w:t>
      </w:r>
      <w:r w:rsidRPr="00F5366F">
        <w:rPr>
          <w:rFonts w:ascii="Arial" w:hAnsi="Arial" w:cs="Arial"/>
          <w:sz w:val="20"/>
          <w:szCs w:val="20"/>
        </w:rPr>
        <w:t xml:space="preserve"> year from the date of issuance</w:t>
      </w:r>
    </w:p>
    <w:p w:rsidR="00F5366F" w:rsidRDefault="00F5366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66F">
        <w:rPr>
          <w:rFonts w:ascii="Arial" w:hAnsi="Arial" w:cs="Arial"/>
          <w:sz w:val="20"/>
          <w:szCs w:val="20"/>
        </w:rPr>
        <w:t xml:space="preserve">- Bond interest rate: 0% </w:t>
      </w:r>
    </w:p>
    <w:p w:rsidR="00396C25" w:rsidRDefault="00F5366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5366F">
        <w:rPr>
          <w:rFonts w:ascii="Arial" w:hAnsi="Arial" w:cs="Arial"/>
          <w:sz w:val="20"/>
          <w:szCs w:val="20"/>
        </w:rPr>
        <w:t xml:space="preserve">Conversion rate: Conversion rate = Bond </w:t>
      </w:r>
      <w:r>
        <w:rPr>
          <w:rFonts w:ascii="Arial" w:hAnsi="Arial" w:cs="Arial"/>
          <w:sz w:val="20"/>
          <w:szCs w:val="20"/>
        </w:rPr>
        <w:t>par value/ conversion price,</w:t>
      </w:r>
      <w:r w:rsidR="00396C25">
        <w:rPr>
          <w:rFonts w:ascii="Arial" w:hAnsi="Arial" w:cs="Arial"/>
          <w:sz w:val="20"/>
          <w:szCs w:val="20"/>
        </w:rPr>
        <w:t xml:space="preserve"> equivalent to 1:10, which means</w:t>
      </w:r>
      <w:r w:rsidRPr="00F5366F">
        <w:rPr>
          <w:rFonts w:ascii="Arial" w:hAnsi="Arial" w:cs="Arial"/>
          <w:sz w:val="20"/>
          <w:szCs w:val="20"/>
        </w:rPr>
        <w:t xml:space="preserve"> 01 convertible bond </w:t>
      </w:r>
      <w:r w:rsidR="00396C25">
        <w:rPr>
          <w:rFonts w:ascii="Arial" w:hAnsi="Arial" w:cs="Arial"/>
          <w:sz w:val="20"/>
          <w:szCs w:val="20"/>
        </w:rPr>
        <w:t>to be</w:t>
      </w:r>
      <w:r w:rsidRPr="00F5366F">
        <w:rPr>
          <w:rFonts w:ascii="Arial" w:hAnsi="Arial" w:cs="Arial"/>
          <w:sz w:val="20"/>
          <w:szCs w:val="20"/>
        </w:rPr>
        <w:t xml:space="preserve"> converted into 10 sh</w:t>
      </w:r>
      <w:r w:rsidR="00396C25">
        <w:rPr>
          <w:rFonts w:ascii="Arial" w:hAnsi="Arial" w:cs="Arial"/>
          <w:sz w:val="20"/>
          <w:szCs w:val="20"/>
        </w:rPr>
        <w:t>ares at the time of conversion</w:t>
      </w:r>
    </w:p>
    <w:p w:rsidR="00396C25" w:rsidRDefault="00396C2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F5366F" w:rsidRPr="00F5366F">
        <w:rPr>
          <w:rFonts w:ascii="Arial" w:hAnsi="Arial" w:cs="Arial"/>
          <w:sz w:val="20"/>
          <w:szCs w:val="20"/>
        </w:rPr>
        <w:t xml:space="preserve"> Conversion price: </w:t>
      </w:r>
      <w:r w:rsidRPr="00F5366F">
        <w:rPr>
          <w:rFonts w:ascii="Arial" w:hAnsi="Arial" w:cs="Arial"/>
          <w:sz w:val="20"/>
          <w:szCs w:val="20"/>
        </w:rPr>
        <w:t xml:space="preserve">VND </w:t>
      </w:r>
      <w:r>
        <w:rPr>
          <w:rFonts w:ascii="Arial" w:hAnsi="Arial" w:cs="Arial"/>
          <w:sz w:val="20"/>
          <w:szCs w:val="20"/>
        </w:rPr>
        <w:t>10,000</w:t>
      </w:r>
      <w:r w:rsidR="00F5366F" w:rsidRPr="00F5366F">
        <w:rPr>
          <w:rFonts w:ascii="Arial" w:hAnsi="Arial" w:cs="Arial"/>
          <w:sz w:val="20"/>
          <w:szCs w:val="20"/>
        </w:rPr>
        <w:t xml:space="preserve">/ share </w:t>
      </w:r>
    </w:p>
    <w:p w:rsidR="00396C25" w:rsidRDefault="00F5366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66F">
        <w:rPr>
          <w:rFonts w:ascii="Arial" w:hAnsi="Arial" w:cs="Arial"/>
          <w:sz w:val="20"/>
          <w:szCs w:val="20"/>
        </w:rPr>
        <w:t xml:space="preserve">- Bond transfer: Convertible bonds are restricted from transfer for </w:t>
      </w:r>
      <w:r w:rsidR="00396C25">
        <w:rPr>
          <w:rFonts w:ascii="Arial" w:hAnsi="Arial" w:cs="Arial"/>
          <w:sz w:val="20"/>
          <w:szCs w:val="20"/>
        </w:rPr>
        <w:t>one year from the date of issuance</w:t>
      </w:r>
    </w:p>
    <w:p w:rsidR="00396C25" w:rsidRDefault="00F5366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66F">
        <w:rPr>
          <w:rFonts w:ascii="Arial" w:hAnsi="Arial" w:cs="Arial"/>
          <w:sz w:val="20"/>
          <w:szCs w:val="20"/>
        </w:rPr>
        <w:t xml:space="preserve">4. </w:t>
      </w:r>
      <w:r w:rsidR="00396C25">
        <w:rPr>
          <w:rFonts w:ascii="Arial" w:hAnsi="Arial" w:cs="Arial"/>
          <w:sz w:val="20"/>
          <w:szCs w:val="20"/>
        </w:rPr>
        <w:t>Right e</w:t>
      </w:r>
      <w:r w:rsidRPr="00F5366F">
        <w:rPr>
          <w:rFonts w:ascii="Arial" w:hAnsi="Arial" w:cs="Arial"/>
          <w:sz w:val="20"/>
          <w:szCs w:val="20"/>
        </w:rPr>
        <w:t xml:space="preserve">xercise rate: </w:t>
      </w:r>
    </w:p>
    <w:p w:rsidR="00396C25" w:rsidRDefault="00F5366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66F">
        <w:rPr>
          <w:rFonts w:ascii="Arial" w:hAnsi="Arial" w:cs="Arial"/>
          <w:sz w:val="20"/>
          <w:szCs w:val="20"/>
        </w:rPr>
        <w:t xml:space="preserve">• </w:t>
      </w:r>
      <w:r w:rsidR="00396C25">
        <w:rPr>
          <w:rFonts w:ascii="Arial" w:hAnsi="Arial" w:cs="Arial"/>
          <w:sz w:val="20"/>
          <w:szCs w:val="20"/>
        </w:rPr>
        <w:t>Quantity: 200,</w:t>
      </w:r>
      <w:r w:rsidRPr="00F5366F">
        <w:rPr>
          <w:rFonts w:ascii="Arial" w:hAnsi="Arial" w:cs="Arial"/>
          <w:sz w:val="20"/>
          <w:szCs w:val="20"/>
        </w:rPr>
        <w:t xml:space="preserve">000 convertible bonds </w:t>
      </w:r>
    </w:p>
    <w:p w:rsidR="00F5366F" w:rsidRDefault="00F5366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66F">
        <w:rPr>
          <w:rFonts w:ascii="Arial" w:hAnsi="Arial" w:cs="Arial"/>
          <w:sz w:val="20"/>
          <w:szCs w:val="20"/>
        </w:rPr>
        <w:t xml:space="preserve">• Expected issuance price: </w:t>
      </w:r>
      <w:r w:rsidR="00396C25" w:rsidRPr="00F5366F">
        <w:rPr>
          <w:rFonts w:ascii="Arial" w:hAnsi="Arial" w:cs="Arial"/>
          <w:sz w:val="20"/>
          <w:szCs w:val="20"/>
        </w:rPr>
        <w:t>VND</w:t>
      </w:r>
      <w:r w:rsidR="00396C25" w:rsidRPr="00F5366F">
        <w:rPr>
          <w:rFonts w:ascii="Arial" w:hAnsi="Arial" w:cs="Arial"/>
          <w:sz w:val="20"/>
          <w:szCs w:val="20"/>
        </w:rPr>
        <w:t xml:space="preserve"> </w:t>
      </w:r>
      <w:r w:rsidR="00396C25">
        <w:rPr>
          <w:rFonts w:ascii="Arial" w:hAnsi="Arial" w:cs="Arial"/>
          <w:sz w:val="20"/>
          <w:szCs w:val="20"/>
        </w:rPr>
        <w:t>100,000</w:t>
      </w:r>
      <w:r w:rsidRPr="00F5366F">
        <w:rPr>
          <w:rFonts w:ascii="Arial" w:hAnsi="Arial" w:cs="Arial"/>
          <w:sz w:val="20"/>
          <w:szCs w:val="20"/>
        </w:rPr>
        <w:t>/ bond</w:t>
      </w:r>
    </w:p>
    <w:p w:rsidR="00396C25" w:rsidRDefault="00396C25" w:rsidP="00396C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Issuing ratio: 32.</w:t>
      </w:r>
      <w:r w:rsidRPr="00396C25">
        <w:rPr>
          <w:rFonts w:ascii="Arial" w:hAnsi="Arial" w:cs="Arial"/>
          <w:sz w:val="20"/>
          <w:szCs w:val="20"/>
        </w:rPr>
        <w:t>276</w:t>
      </w:r>
      <w:r>
        <w:rPr>
          <w:rFonts w:ascii="Arial" w:hAnsi="Arial" w:cs="Arial"/>
          <w:sz w:val="20"/>
          <w:szCs w:val="20"/>
        </w:rPr>
        <w:t>675: 1 (Shareholders owning 32.</w:t>
      </w:r>
      <w:r w:rsidRPr="00396C25">
        <w:rPr>
          <w:rFonts w:ascii="Arial" w:hAnsi="Arial" w:cs="Arial"/>
          <w:sz w:val="20"/>
          <w:szCs w:val="20"/>
        </w:rPr>
        <w:t>276675 shares are entit</w:t>
      </w:r>
      <w:r>
        <w:rPr>
          <w:rFonts w:ascii="Arial" w:hAnsi="Arial" w:cs="Arial"/>
          <w:sz w:val="20"/>
          <w:szCs w:val="20"/>
        </w:rPr>
        <w:t>led to buy 01 convertible bond</w:t>
      </w:r>
    </w:p>
    <w:p w:rsidR="00396C25" w:rsidRDefault="00396C25" w:rsidP="00396C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Principle of rounding: Rounding</w:t>
      </w:r>
      <w:r w:rsidRPr="00396C25">
        <w:rPr>
          <w:rFonts w:ascii="Arial" w:hAnsi="Arial" w:cs="Arial"/>
          <w:sz w:val="20"/>
          <w:szCs w:val="20"/>
        </w:rPr>
        <w:t xml:space="preserve"> down to the unit to determine the num</w:t>
      </w:r>
      <w:r>
        <w:rPr>
          <w:rFonts w:ascii="Arial" w:hAnsi="Arial" w:cs="Arial"/>
          <w:sz w:val="20"/>
          <w:szCs w:val="20"/>
        </w:rPr>
        <w:t>ber of convertible bonds to buy</w:t>
      </w:r>
    </w:p>
    <w:p w:rsidR="00396C25" w:rsidRDefault="00396C25" w:rsidP="00396C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6C25">
        <w:rPr>
          <w:rFonts w:ascii="Arial" w:hAnsi="Arial" w:cs="Arial"/>
          <w:sz w:val="20"/>
          <w:szCs w:val="20"/>
        </w:rPr>
        <w:t xml:space="preserve">• Plan for dealing with odd-convertible bonds and </w:t>
      </w:r>
      <w:r>
        <w:rPr>
          <w:rFonts w:ascii="Arial" w:hAnsi="Arial" w:cs="Arial"/>
          <w:sz w:val="20"/>
          <w:szCs w:val="20"/>
        </w:rPr>
        <w:t xml:space="preserve">unsold </w:t>
      </w:r>
      <w:r w:rsidRPr="00396C25">
        <w:rPr>
          <w:rFonts w:ascii="Arial" w:hAnsi="Arial" w:cs="Arial"/>
          <w:sz w:val="20"/>
          <w:szCs w:val="20"/>
        </w:rPr>
        <w:t xml:space="preserve">convertible bonds: The number of convertible bonds </w:t>
      </w:r>
      <w:r>
        <w:rPr>
          <w:rFonts w:ascii="Arial" w:hAnsi="Arial" w:cs="Arial"/>
          <w:sz w:val="20"/>
          <w:szCs w:val="20"/>
        </w:rPr>
        <w:t>arising</w:t>
      </w:r>
      <w:r w:rsidRPr="00396C25">
        <w:rPr>
          <w:rFonts w:ascii="Arial" w:hAnsi="Arial" w:cs="Arial"/>
          <w:sz w:val="20"/>
          <w:szCs w:val="20"/>
        </w:rPr>
        <w:t xml:space="preserve"> due to rounding and the number of </w:t>
      </w:r>
      <w:r>
        <w:rPr>
          <w:rFonts w:ascii="Arial" w:hAnsi="Arial" w:cs="Arial"/>
          <w:sz w:val="20"/>
          <w:szCs w:val="20"/>
        </w:rPr>
        <w:t xml:space="preserve">unsold </w:t>
      </w:r>
      <w:r w:rsidRPr="00396C25">
        <w:rPr>
          <w:rFonts w:ascii="Arial" w:hAnsi="Arial" w:cs="Arial"/>
          <w:sz w:val="20"/>
          <w:szCs w:val="20"/>
        </w:rPr>
        <w:t xml:space="preserve">convertible bonds will </w:t>
      </w:r>
      <w:r>
        <w:rPr>
          <w:rFonts w:ascii="Arial" w:hAnsi="Arial" w:cs="Arial"/>
          <w:sz w:val="20"/>
          <w:szCs w:val="20"/>
        </w:rPr>
        <w:t>be canceled from the issuance</w:t>
      </w:r>
    </w:p>
    <w:p w:rsidR="00396C25" w:rsidRDefault="00396C25" w:rsidP="00396C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Total proceeds</w:t>
      </w:r>
      <w:r w:rsidRPr="00396C2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VND </w:t>
      </w:r>
      <w:r w:rsidRPr="00396C2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,</w:t>
      </w:r>
      <w:r w:rsidRPr="00396C25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396C25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396C25">
        <w:rPr>
          <w:rFonts w:ascii="Arial" w:hAnsi="Arial" w:cs="Arial"/>
          <w:sz w:val="20"/>
          <w:szCs w:val="20"/>
        </w:rPr>
        <w:t xml:space="preserve">000 </w:t>
      </w:r>
    </w:p>
    <w:p w:rsidR="00396C25" w:rsidRDefault="00396C25" w:rsidP="00396C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396C25">
        <w:rPr>
          <w:rFonts w:ascii="Arial" w:hAnsi="Arial" w:cs="Arial"/>
          <w:sz w:val="20"/>
          <w:szCs w:val="20"/>
        </w:rPr>
        <w:t xml:space="preserve">Purpose of capital raising: The proceeds from the bond issue are expected </w:t>
      </w:r>
      <w:r>
        <w:rPr>
          <w:rFonts w:ascii="Arial" w:hAnsi="Arial" w:cs="Arial"/>
          <w:sz w:val="20"/>
          <w:szCs w:val="20"/>
        </w:rPr>
        <w:t>to</w:t>
      </w:r>
      <w:r w:rsidRPr="00396C25">
        <w:rPr>
          <w:rFonts w:ascii="Arial" w:hAnsi="Arial" w:cs="Arial"/>
          <w:sz w:val="20"/>
          <w:szCs w:val="20"/>
        </w:rPr>
        <w:t xml:space="preserve"> be used to res</w:t>
      </w:r>
      <w:r>
        <w:rPr>
          <w:rFonts w:ascii="Arial" w:hAnsi="Arial" w:cs="Arial"/>
          <w:sz w:val="20"/>
          <w:szCs w:val="20"/>
        </w:rPr>
        <w:t>tructure debts, improve financial capacity</w:t>
      </w:r>
    </w:p>
    <w:p w:rsidR="00396C25" w:rsidRDefault="00396C25" w:rsidP="00396C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Record date</w:t>
      </w:r>
      <w:r w:rsidRPr="00396C25">
        <w:rPr>
          <w:rFonts w:ascii="Arial" w:hAnsi="Arial" w:cs="Arial"/>
          <w:sz w:val="20"/>
          <w:szCs w:val="20"/>
        </w:rPr>
        <w:t>: February 25, 2020</w:t>
      </w:r>
    </w:p>
    <w:p w:rsidR="00396C25" w:rsidRDefault="00396C25" w:rsidP="00396C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Pr="00396C25">
        <w:rPr>
          <w:rFonts w:ascii="Arial" w:hAnsi="Arial" w:cs="Arial"/>
          <w:sz w:val="20"/>
          <w:szCs w:val="20"/>
        </w:rPr>
        <w:t xml:space="preserve">Deadline for registration </w:t>
      </w:r>
      <w:r>
        <w:rPr>
          <w:rFonts w:ascii="Arial" w:hAnsi="Arial" w:cs="Arial"/>
          <w:sz w:val="20"/>
          <w:szCs w:val="20"/>
        </w:rPr>
        <w:t>and payment for share purchase</w:t>
      </w:r>
      <w:r w:rsidRPr="00396C25">
        <w:rPr>
          <w:rFonts w:ascii="Arial" w:hAnsi="Arial" w:cs="Arial"/>
          <w:sz w:val="20"/>
          <w:szCs w:val="20"/>
        </w:rPr>
        <w:t xml:space="preserve">: </w:t>
      </w:r>
    </w:p>
    <w:p w:rsidR="00396C25" w:rsidRDefault="00396C25" w:rsidP="00396C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Time of</w:t>
      </w:r>
      <w:r w:rsidRPr="00396C25">
        <w:rPr>
          <w:rFonts w:ascii="Arial" w:hAnsi="Arial" w:cs="Arial"/>
          <w:sz w:val="20"/>
          <w:szCs w:val="20"/>
        </w:rPr>
        <w:t xml:space="preserve"> transfer</w:t>
      </w:r>
      <w:r>
        <w:rPr>
          <w:rFonts w:ascii="Arial" w:hAnsi="Arial" w:cs="Arial"/>
          <w:sz w:val="20"/>
          <w:szCs w:val="20"/>
        </w:rPr>
        <w:t>ring</w:t>
      </w:r>
      <w:r w:rsidRPr="00396C25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purchase right: </w:t>
      </w:r>
      <w:r w:rsidRPr="00396C25">
        <w:rPr>
          <w:rFonts w:ascii="Arial" w:hAnsi="Arial" w:cs="Arial"/>
          <w:sz w:val="20"/>
          <w:szCs w:val="20"/>
        </w:rPr>
        <w:t>from Ma</w:t>
      </w:r>
      <w:r>
        <w:rPr>
          <w:rFonts w:ascii="Arial" w:hAnsi="Arial" w:cs="Arial"/>
          <w:sz w:val="20"/>
          <w:szCs w:val="20"/>
        </w:rPr>
        <w:t>rch 3, 2020 to March 26, 2020. The right of</w:t>
      </w:r>
      <w:r w:rsidRPr="00396C25">
        <w:rPr>
          <w:rFonts w:ascii="Arial" w:hAnsi="Arial" w:cs="Arial"/>
          <w:sz w:val="20"/>
          <w:szCs w:val="20"/>
        </w:rPr>
        <w:t xml:space="preserve"> buy</w:t>
      </w:r>
      <w:r>
        <w:rPr>
          <w:rFonts w:ascii="Arial" w:hAnsi="Arial" w:cs="Arial"/>
          <w:sz w:val="20"/>
          <w:szCs w:val="20"/>
        </w:rPr>
        <w:t>ing</w:t>
      </w:r>
      <w:r w:rsidRPr="00396C25">
        <w:rPr>
          <w:rFonts w:ascii="Arial" w:hAnsi="Arial" w:cs="Arial"/>
          <w:sz w:val="20"/>
          <w:szCs w:val="20"/>
        </w:rPr>
        <w:t xml:space="preserve"> convertible bonds</w:t>
      </w:r>
      <w:r>
        <w:rPr>
          <w:rFonts w:ascii="Arial" w:hAnsi="Arial" w:cs="Arial"/>
          <w:sz w:val="20"/>
          <w:szCs w:val="20"/>
        </w:rPr>
        <w:t xml:space="preserve"> can only be transferred once</w:t>
      </w:r>
    </w:p>
    <w:p w:rsidR="001B7468" w:rsidRDefault="001B7468" w:rsidP="00396C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Time for registration</w:t>
      </w:r>
      <w:r w:rsidR="00396C25" w:rsidRPr="00396C25">
        <w:rPr>
          <w:rFonts w:ascii="Arial" w:hAnsi="Arial" w:cs="Arial"/>
          <w:sz w:val="20"/>
          <w:szCs w:val="20"/>
        </w:rPr>
        <w:t xml:space="preserve"> and pay</w:t>
      </w:r>
      <w:r>
        <w:rPr>
          <w:rFonts w:ascii="Arial" w:hAnsi="Arial" w:cs="Arial"/>
          <w:sz w:val="20"/>
          <w:szCs w:val="20"/>
        </w:rPr>
        <w:t>ment</w:t>
      </w:r>
      <w:r w:rsidR="00396C25" w:rsidRPr="00396C25">
        <w:rPr>
          <w:rFonts w:ascii="Arial" w:hAnsi="Arial" w:cs="Arial"/>
          <w:sz w:val="20"/>
          <w:szCs w:val="20"/>
        </w:rPr>
        <w:t xml:space="preserve"> for the purchase of convertible bonds: from March 3, 2018 to March 30, 2020 </w:t>
      </w:r>
    </w:p>
    <w:p w:rsidR="001B7468" w:rsidRDefault="001B7468" w:rsidP="00396C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Location of registration for</w:t>
      </w:r>
      <w:r w:rsidR="00396C25" w:rsidRPr="00396C25">
        <w:rPr>
          <w:rFonts w:ascii="Arial" w:hAnsi="Arial" w:cs="Arial"/>
          <w:sz w:val="20"/>
          <w:szCs w:val="20"/>
        </w:rPr>
        <w:t xml:space="preserve"> buying convertible bonds and disclosure of prospectus: </w:t>
      </w:r>
    </w:p>
    <w:p w:rsidR="001B7468" w:rsidRDefault="00396C25" w:rsidP="00396C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6C25">
        <w:rPr>
          <w:rFonts w:ascii="Arial" w:hAnsi="Arial" w:cs="Arial"/>
          <w:sz w:val="20"/>
          <w:szCs w:val="20"/>
        </w:rPr>
        <w:t xml:space="preserve">- Location of registration of buying convertible bonds: </w:t>
      </w:r>
    </w:p>
    <w:p w:rsidR="001B7468" w:rsidRDefault="00396C25" w:rsidP="00396C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6C25">
        <w:rPr>
          <w:rFonts w:ascii="Arial" w:hAnsi="Arial" w:cs="Arial"/>
          <w:sz w:val="20"/>
          <w:szCs w:val="20"/>
        </w:rPr>
        <w:t xml:space="preserve">+ Shareholders whose securities </w:t>
      </w:r>
      <w:r w:rsidR="001B7468">
        <w:rPr>
          <w:rFonts w:ascii="Arial" w:hAnsi="Arial" w:cs="Arial"/>
          <w:sz w:val="20"/>
          <w:szCs w:val="20"/>
        </w:rPr>
        <w:t>are</w:t>
      </w:r>
      <w:r w:rsidRPr="00396C25">
        <w:rPr>
          <w:rFonts w:ascii="Arial" w:hAnsi="Arial" w:cs="Arial"/>
          <w:sz w:val="20"/>
          <w:szCs w:val="20"/>
        </w:rPr>
        <w:t xml:space="preserve"> deposited: carry out procedures for transfer o</w:t>
      </w:r>
      <w:r w:rsidR="001B7468">
        <w:rPr>
          <w:rFonts w:ascii="Arial" w:hAnsi="Arial" w:cs="Arial"/>
          <w:sz w:val="20"/>
          <w:szCs w:val="20"/>
        </w:rPr>
        <w:t xml:space="preserve">f buying rights, registration for placing orders </w:t>
      </w:r>
      <w:r w:rsidRPr="00396C25">
        <w:rPr>
          <w:rFonts w:ascii="Arial" w:hAnsi="Arial" w:cs="Arial"/>
          <w:sz w:val="20"/>
          <w:szCs w:val="20"/>
        </w:rPr>
        <w:t>and pay money for buying convertible bonds at the depository member wher</w:t>
      </w:r>
      <w:r w:rsidR="001B7468">
        <w:rPr>
          <w:rFonts w:ascii="Arial" w:hAnsi="Arial" w:cs="Arial"/>
          <w:sz w:val="20"/>
          <w:szCs w:val="20"/>
        </w:rPr>
        <w:t>e the custody account is opened</w:t>
      </w:r>
    </w:p>
    <w:p w:rsidR="001B7468" w:rsidRDefault="00396C25" w:rsidP="001B74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6C25">
        <w:rPr>
          <w:rFonts w:ascii="Arial" w:hAnsi="Arial" w:cs="Arial"/>
          <w:sz w:val="20"/>
          <w:szCs w:val="20"/>
        </w:rPr>
        <w:t xml:space="preserve">+ Shareholders whose securities </w:t>
      </w:r>
      <w:r w:rsidR="001B7468">
        <w:rPr>
          <w:rFonts w:ascii="Arial" w:hAnsi="Arial" w:cs="Arial"/>
          <w:sz w:val="20"/>
          <w:szCs w:val="20"/>
        </w:rPr>
        <w:t>are not</w:t>
      </w:r>
      <w:r w:rsidRPr="00396C25">
        <w:rPr>
          <w:rFonts w:ascii="Arial" w:hAnsi="Arial" w:cs="Arial"/>
          <w:sz w:val="20"/>
          <w:szCs w:val="20"/>
        </w:rPr>
        <w:t xml:space="preserve"> deposited: carry out procedures for transferring the</w:t>
      </w:r>
      <w:r w:rsidR="001B7468">
        <w:rPr>
          <w:rFonts w:ascii="Arial" w:hAnsi="Arial" w:cs="Arial"/>
          <w:sz w:val="20"/>
          <w:szCs w:val="20"/>
        </w:rPr>
        <w:t xml:space="preserve"> purchase</w:t>
      </w:r>
      <w:r w:rsidRPr="00396C25">
        <w:rPr>
          <w:rFonts w:ascii="Arial" w:hAnsi="Arial" w:cs="Arial"/>
          <w:sz w:val="20"/>
          <w:szCs w:val="20"/>
        </w:rPr>
        <w:t xml:space="preserve"> rights</w:t>
      </w:r>
      <w:r w:rsidR="001B7468">
        <w:rPr>
          <w:rFonts w:ascii="Arial" w:hAnsi="Arial" w:cs="Arial"/>
          <w:sz w:val="20"/>
          <w:szCs w:val="20"/>
        </w:rPr>
        <w:t xml:space="preserve">, </w:t>
      </w:r>
      <w:r w:rsidR="001B7468">
        <w:rPr>
          <w:rFonts w:ascii="Arial" w:hAnsi="Arial" w:cs="Arial"/>
          <w:sz w:val="20"/>
          <w:szCs w:val="20"/>
        </w:rPr>
        <w:t>purchase</w:t>
      </w:r>
      <w:r w:rsidR="001B7468">
        <w:rPr>
          <w:rFonts w:ascii="Arial" w:hAnsi="Arial" w:cs="Arial"/>
          <w:sz w:val="20"/>
          <w:szCs w:val="20"/>
        </w:rPr>
        <w:t xml:space="preserve"> registration </w:t>
      </w:r>
      <w:r w:rsidRPr="00396C25">
        <w:rPr>
          <w:rFonts w:ascii="Arial" w:hAnsi="Arial" w:cs="Arial"/>
          <w:sz w:val="20"/>
          <w:szCs w:val="20"/>
        </w:rPr>
        <w:t>at the Finance and Accounting Department of HFC Petroleum</w:t>
      </w:r>
      <w:r w:rsidR="001B7468">
        <w:rPr>
          <w:rFonts w:ascii="Arial" w:hAnsi="Arial" w:cs="Arial"/>
          <w:sz w:val="20"/>
          <w:szCs w:val="20"/>
        </w:rPr>
        <w:t xml:space="preserve"> Corporation, </w:t>
      </w:r>
      <w:r w:rsidR="001B7468" w:rsidRPr="00396C25">
        <w:rPr>
          <w:rFonts w:ascii="Arial" w:hAnsi="Arial" w:cs="Arial"/>
          <w:sz w:val="20"/>
          <w:szCs w:val="20"/>
        </w:rPr>
        <w:t>F</w:t>
      </w:r>
      <w:r w:rsidR="001B7468">
        <w:rPr>
          <w:rFonts w:ascii="Arial" w:hAnsi="Arial" w:cs="Arial"/>
          <w:sz w:val="20"/>
          <w:szCs w:val="20"/>
        </w:rPr>
        <w:t xml:space="preserve">3 </w:t>
      </w:r>
      <w:r w:rsidR="001B7468" w:rsidRPr="00F5366F">
        <w:rPr>
          <w:rFonts w:ascii="Arial" w:hAnsi="Arial" w:cs="Arial"/>
          <w:sz w:val="20"/>
          <w:szCs w:val="20"/>
        </w:rPr>
        <w:t xml:space="preserve">Floor, 187 Nguyen Luong Bang Building, Dong Da District, </w:t>
      </w:r>
      <w:r w:rsidR="001B7468">
        <w:rPr>
          <w:rFonts w:ascii="Arial" w:hAnsi="Arial" w:cs="Arial"/>
          <w:sz w:val="20"/>
          <w:szCs w:val="20"/>
        </w:rPr>
        <w:t xml:space="preserve">Ha </w:t>
      </w:r>
      <w:proofErr w:type="spellStart"/>
      <w:r w:rsidR="001B7468">
        <w:rPr>
          <w:rFonts w:ascii="Arial" w:hAnsi="Arial" w:cs="Arial"/>
          <w:sz w:val="20"/>
          <w:szCs w:val="20"/>
        </w:rPr>
        <w:t>Noi</w:t>
      </w:r>
      <w:proofErr w:type="spellEnd"/>
      <w:r w:rsidR="001B7468">
        <w:rPr>
          <w:rFonts w:ascii="Arial" w:hAnsi="Arial" w:cs="Arial"/>
          <w:sz w:val="20"/>
          <w:szCs w:val="20"/>
        </w:rPr>
        <w:t xml:space="preserve"> City</w:t>
      </w:r>
      <w:r w:rsidR="001B7468">
        <w:rPr>
          <w:rFonts w:ascii="Arial" w:hAnsi="Arial" w:cs="Arial"/>
          <w:sz w:val="20"/>
          <w:szCs w:val="20"/>
        </w:rPr>
        <w:t xml:space="preserve"> and payment to the escrow account</w:t>
      </w:r>
    </w:p>
    <w:p w:rsidR="001B7468" w:rsidRDefault="001B7468" w:rsidP="001B74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Address of publishing the Prospectus:</w:t>
      </w:r>
    </w:p>
    <w:p w:rsidR="001B7468" w:rsidRDefault="001B7468" w:rsidP="001B74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7468">
        <w:rPr>
          <w:rFonts w:ascii="Arial" w:hAnsi="Arial" w:cs="Arial"/>
          <w:sz w:val="20"/>
          <w:szCs w:val="20"/>
        </w:rPr>
        <w:t>+ Website of HFC Petroleum Corporation</w:t>
      </w:r>
    </w:p>
    <w:p w:rsidR="001B7468" w:rsidRDefault="001B7468" w:rsidP="001B74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Pr="001B7468">
        <w:rPr>
          <w:rFonts w:ascii="Arial" w:hAnsi="Arial" w:cs="Arial"/>
          <w:sz w:val="20"/>
          <w:szCs w:val="20"/>
        </w:rPr>
        <w:t>Bank</w:t>
      </w:r>
      <w:r>
        <w:rPr>
          <w:rFonts w:ascii="Arial" w:hAnsi="Arial" w:cs="Arial"/>
          <w:sz w:val="20"/>
          <w:szCs w:val="20"/>
        </w:rPr>
        <w:t xml:space="preserve"> where the</w:t>
      </w:r>
      <w:r w:rsidRPr="001B7468">
        <w:rPr>
          <w:rFonts w:ascii="Arial" w:hAnsi="Arial" w:cs="Arial"/>
          <w:sz w:val="20"/>
          <w:szCs w:val="20"/>
        </w:rPr>
        <w:t xml:space="preserve"> blockade account </w:t>
      </w:r>
      <w:r>
        <w:rPr>
          <w:rFonts w:ascii="Arial" w:hAnsi="Arial" w:cs="Arial"/>
          <w:sz w:val="20"/>
          <w:szCs w:val="20"/>
        </w:rPr>
        <w:t xml:space="preserve">is </w:t>
      </w:r>
      <w:r w:rsidRPr="001B7468">
        <w:rPr>
          <w:rFonts w:ascii="Arial" w:hAnsi="Arial" w:cs="Arial"/>
          <w:sz w:val="20"/>
          <w:szCs w:val="20"/>
        </w:rPr>
        <w:t>opened</w:t>
      </w:r>
      <w:r w:rsidRPr="001B7468">
        <w:rPr>
          <w:rFonts w:ascii="Arial" w:hAnsi="Arial" w:cs="Arial"/>
          <w:sz w:val="20"/>
          <w:szCs w:val="20"/>
        </w:rPr>
        <w:t xml:space="preserve"> to receive money </w:t>
      </w:r>
      <w:r>
        <w:rPr>
          <w:rFonts w:ascii="Arial" w:hAnsi="Arial" w:cs="Arial"/>
          <w:sz w:val="20"/>
          <w:szCs w:val="20"/>
        </w:rPr>
        <w:t xml:space="preserve">of </w:t>
      </w:r>
      <w:r w:rsidRPr="001B7468">
        <w:rPr>
          <w:rFonts w:ascii="Arial" w:hAnsi="Arial" w:cs="Arial"/>
          <w:sz w:val="20"/>
          <w:szCs w:val="20"/>
        </w:rPr>
        <w:t>buy</w:t>
      </w:r>
      <w:r>
        <w:rPr>
          <w:rFonts w:ascii="Arial" w:hAnsi="Arial" w:cs="Arial"/>
          <w:sz w:val="20"/>
          <w:szCs w:val="20"/>
        </w:rPr>
        <w:t>ing</w:t>
      </w:r>
      <w:r w:rsidRPr="001B7468">
        <w:rPr>
          <w:rFonts w:ascii="Arial" w:hAnsi="Arial" w:cs="Arial"/>
          <w:sz w:val="20"/>
          <w:szCs w:val="20"/>
        </w:rPr>
        <w:t xml:space="preserve"> bonds: </w:t>
      </w:r>
    </w:p>
    <w:p w:rsidR="001B7468" w:rsidRDefault="001B7468" w:rsidP="001B74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7468">
        <w:rPr>
          <w:rFonts w:ascii="Arial" w:hAnsi="Arial" w:cs="Arial"/>
          <w:sz w:val="20"/>
          <w:szCs w:val="20"/>
        </w:rPr>
        <w:t>+ Account holder</w:t>
      </w:r>
      <w:r>
        <w:rPr>
          <w:rFonts w:ascii="Arial" w:hAnsi="Arial" w:cs="Arial"/>
          <w:sz w:val="20"/>
          <w:szCs w:val="20"/>
        </w:rPr>
        <w:t>’s</w:t>
      </w:r>
      <w:r w:rsidRPr="001B7468">
        <w:rPr>
          <w:rFonts w:ascii="Arial" w:hAnsi="Arial" w:cs="Arial"/>
          <w:sz w:val="20"/>
          <w:szCs w:val="20"/>
        </w:rPr>
        <w:t xml:space="preserve"> name: HFC Petroleum </w:t>
      </w:r>
      <w:r>
        <w:rPr>
          <w:rFonts w:ascii="Arial" w:hAnsi="Arial" w:cs="Arial"/>
          <w:sz w:val="20"/>
          <w:szCs w:val="20"/>
        </w:rPr>
        <w:t>Corporation</w:t>
      </w:r>
    </w:p>
    <w:p w:rsidR="001B7468" w:rsidRDefault="001B7468" w:rsidP="001B74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7468">
        <w:rPr>
          <w:rFonts w:ascii="Arial" w:hAnsi="Arial" w:cs="Arial"/>
          <w:sz w:val="20"/>
          <w:szCs w:val="20"/>
        </w:rPr>
        <w:t xml:space="preserve">+ Account number: 114000211599 </w:t>
      </w:r>
    </w:p>
    <w:p w:rsidR="001B7468" w:rsidRDefault="001B7468" w:rsidP="001B74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Account opened at</w:t>
      </w:r>
      <w:r w:rsidRPr="001B746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VietinBank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1B7468">
        <w:rPr>
          <w:rFonts w:ascii="Arial" w:hAnsi="Arial" w:cs="Arial"/>
          <w:sz w:val="20"/>
          <w:szCs w:val="20"/>
        </w:rPr>
        <w:t>Hoan</w:t>
      </w:r>
      <w:proofErr w:type="spellEnd"/>
      <w:r w:rsidRPr="001B74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7468">
        <w:rPr>
          <w:rFonts w:ascii="Arial" w:hAnsi="Arial" w:cs="Arial"/>
          <w:sz w:val="20"/>
          <w:szCs w:val="20"/>
        </w:rPr>
        <w:t>Kiem</w:t>
      </w:r>
      <w:proofErr w:type="spellEnd"/>
      <w:r w:rsidRPr="001B74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Branch</w:t>
      </w:r>
    </w:p>
    <w:p w:rsidR="00396C25" w:rsidRPr="00396C25" w:rsidRDefault="00396C25" w:rsidP="00396C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96C25" w:rsidRPr="00396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B7468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7607E"/>
    <w:rsid w:val="00396C25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44587"/>
    <w:rsid w:val="00745D9A"/>
    <w:rsid w:val="00750F3E"/>
    <w:rsid w:val="0077456B"/>
    <w:rsid w:val="007A072F"/>
    <w:rsid w:val="007A1FCC"/>
    <w:rsid w:val="007B67AF"/>
    <w:rsid w:val="007C13C6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26F1A"/>
    <w:rsid w:val="00C33F82"/>
    <w:rsid w:val="00C36031"/>
    <w:rsid w:val="00C940B5"/>
    <w:rsid w:val="00CA1BB3"/>
    <w:rsid w:val="00CE40C1"/>
    <w:rsid w:val="00D52C26"/>
    <w:rsid w:val="00D651E1"/>
    <w:rsid w:val="00D74339"/>
    <w:rsid w:val="00D77F89"/>
    <w:rsid w:val="00D92EFF"/>
    <w:rsid w:val="00DA54D0"/>
    <w:rsid w:val="00DD1205"/>
    <w:rsid w:val="00DD263A"/>
    <w:rsid w:val="00DE5C3C"/>
    <w:rsid w:val="00DF4180"/>
    <w:rsid w:val="00E5565D"/>
    <w:rsid w:val="00E96D65"/>
    <w:rsid w:val="00ED6D41"/>
    <w:rsid w:val="00F272CE"/>
    <w:rsid w:val="00F320D6"/>
    <w:rsid w:val="00F33967"/>
    <w:rsid w:val="00F360CB"/>
    <w:rsid w:val="00F5366F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48B34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141</cp:revision>
  <dcterms:created xsi:type="dcterms:W3CDTF">2019-10-16T10:03:00Z</dcterms:created>
  <dcterms:modified xsi:type="dcterms:W3CDTF">2020-04-18T16:20:00Z</dcterms:modified>
</cp:coreProperties>
</file>